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9A" w:rsidRPr="00AB299A" w:rsidRDefault="00AB299A" w:rsidP="00AB299A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r w:rsidRPr="00AB299A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Оплату ОДН в составе ЖУ перенесут на 1 января 2017 года</w:t>
      </w:r>
    </w:p>
    <w:p w:rsidR="00AB299A" w:rsidRPr="00AB299A" w:rsidRDefault="00AB299A" w:rsidP="00AB2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99A">
        <w:rPr>
          <w:rFonts w:ascii="Arial" w:eastAsia="Times New Roman" w:hAnsi="Arial" w:cs="Arial"/>
          <w:color w:val="645F5C"/>
          <w:sz w:val="21"/>
          <w:szCs w:val="21"/>
          <w:lang w:eastAsia="ru-RU"/>
        </w:rPr>
        <w:t>Опубликовано 24 марта 2016 г.</w:t>
      </w:r>
    </w:p>
    <w:p w:rsidR="00AB299A" w:rsidRPr="00AB299A" w:rsidRDefault="00AB299A" w:rsidP="00AB299A">
      <w:pPr>
        <w:shd w:val="clear" w:color="auto" w:fill="FFFFFF"/>
        <w:spacing w:after="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1 апреля 2016 года новая строка по ОДН в квитанциях на оплату за </w:t>
      </w:r>
      <w:r w:rsidRPr="00AB299A">
        <w:rPr>
          <w:rFonts w:ascii="PT Sans" w:eastAsia="Times New Roman" w:hAnsi="PT Sans" w:cs="Times New Roman"/>
          <w:b/>
          <w:bCs/>
          <w:color w:val="555555"/>
          <w:sz w:val="26"/>
          <w:szCs w:val="26"/>
          <w:lang w:eastAsia="ru-RU"/>
        </w:rPr>
        <w:t>содержание жилого помещения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 не появится. В этом году она по-прежнему останется в составе платы за КУ. Срок включения в состав платы за содержание жилого помещения расходов на оплату коммунальных услуг, используемых для содержания общего имущества в МКД, переносится с 1 апреля 2016 года на 1 января 2017 года. Соответствующий </w:t>
      </w:r>
      <w:hyperlink r:id="rId5" w:tgtFrame="_blank" w:history="1">
        <w:r w:rsidRPr="00AB299A">
          <w:rPr>
            <w:rFonts w:ascii="PT Sans" w:eastAsia="Times New Roman" w:hAnsi="PT Sans" w:cs="Times New Roman"/>
            <w:color w:val="6DA3BD"/>
            <w:sz w:val="26"/>
            <w:szCs w:val="26"/>
            <w:u w:val="single"/>
            <w:lang w:eastAsia="ru-RU"/>
          </w:rPr>
          <w:t>Федеральный Закон №73 от 30.03.2016 года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 подписал президент РФ. ФЗ №73 вступает в свою законную силу со дня его официального опубликования.</w:t>
      </w:r>
      <w:r w:rsidRPr="00AB299A">
        <w:rPr>
          <w:rFonts w:ascii="PT Sans" w:eastAsia="Times New Roman" w:hAnsi="PT Sans" w:cs="Times New Roman"/>
          <w:color w:val="999999"/>
          <w:sz w:val="26"/>
          <w:szCs w:val="26"/>
          <w:bdr w:val="none" w:sz="0" w:space="0" w:color="auto" w:frame="1"/>
          <w:lang w:eastAsia="ru-RU"/>
        </w:rPr>
        <w:t>1</w:t>
      </w:r>
    </w:p>
    <w:p w:rsidR="00AB299A" w:rsidRPr="00AB299A" w:rsidRDefault="00AB299A" w:rsidP="00AB299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AB299A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ОДН останется прежним в 2016 году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В одной из прошлых статей мы писали о том, что 13 ноября 2015 года Госдума приступила к рассмотрению </w:t>
      </w:r>
      <w:proofErr w:type="gram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п</w:t>
      </w:r>
      <w:proofErr w:type="gram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fldChar w:fldCharType="begin"/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instrText xml:space="preserve"> HYPERLINK "http://asozd2.duma.gov.ru/main.nsf/%28Spravka%29?OpenAgent&amp;RN=928761-6" \t "_blank" </w:instrTex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fldChar w:fldCharType="separate"/>
      </w:r>
      <w:r w:rsidRPr="00AB299A">
        <w:rPr>
          <w:rFonts w:ascii="PT Sans" w:eastAsia="Times New Roman" w:hAnsi="PT Sans" w:cs="Times New Roman"/>
          <w:color w:val="6DA3BD"/>
          <w:sz w:val="26"/>
          <w:szCs w:val="26"/>
          <w:u w:val="single"/>
          <w:lang w:eastAsia="ru-RU"/>
        </w:rPr>
        <w:t>роекта Федерального Закона №928761-6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fldChar w:fldCharType="end"/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 «О внесении изменений в ст.12 ФЗ «О внесении изменений в Жилищный кодекс РФ и отдельные законодательные акты Российской Федерации». Документ прошёл практически единогласное одобрение депутатами во всех трёх чтениях. 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Наконец, Федеральный Закон подписан главой государства и получил официальный статус </w:t>
      </w:r>
      <w:hyperlink r:id="rId6" w:tgtFrame="_blank" w:history="1">
        <w:r w:rsidRPr="00AB299A">
          <w:rPr>
            <w:rFonts w:ascii="PT Sans" w:eastAsia="Times New Roman" w:hAnsi="PT Sans" w:cs="Times New Roman"/>
            <w:color w:val="6DA3BD"/>
            <w:sz w:val="26"/>
            <w:szCs w:val="26"/>
            <w:u w:val="single"/>
            <w:lang w:eastAsia="ru-RU"/>
          </w:rPr>
          <w:t>ФЗ №73 от 30.03.2016 "О внесении изменений в статью 12 Федерального закона "О внесении изменений в Жилищный кодекс Российской Федерации и отдельные законодательные акты Российской Федерации"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.</w:t>
      </w:r>
    </w:p>
    <w:p w:rsidR="00AB299A" w:rsidRPr="00AB299A" w:rsidRDefault="00AB299A" w:rsidP="00AB299A">
      <w:pPr>
        <w:shd w:val="clear" w:color="auto" w:fill="FFFFFF"/>
        <w:spacing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hyperlink r:id="rId7" w:tgtFrame="_blank" w:history="1">
        <w:r w:rsidRPr="00AB299A">
          <w:rPr>
            <w:rFonts w:ascii="PT Sans" w:eastAsia="Times New Roman" w:hAnsi="PT Sans" w:cs="Times New Roman"/>
            <w:b/>
            <w:bCs/>
            <w:color w:val="6DA3BD"/>
            <w:sz w:val="26"/>
            <w:szCs w:val="26"/>
            <w:u w:val="single"/>
            <w:lang w:eastAsia="ru-RU"/>
          </w:rPr>
          <w:t>Подробнее про ОДН в составе ЖУ читайте в этой статье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.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Напоминаем, что </w:t>
      </w:r>
      <w:hyperlink r:id="rId8" w:tgtFrame="_blank" w:history="1">
        <w:r w:rsidRPr="00AB299A">
          <w:rPr>
            <w:rFonts w:ascii="PT Sans" w:eastAsia="Times New Roman" w:hAnsi="PT Sans" w:cs="Times New Roman"/>
            <w:color w:val="6DA3BD"/>
            <w:sz w:val="26"/>
            <w:szCs w:val="26"/>
            <w:u w:val="single"/>
            <w:lang w:eastAsia="ru-RU"/>
          </w:rPr>
          <w:t>п.1 ч.2 ст.154 ЖК РФ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 должен был вступить в силу 1 апреля 2016 года, но сроки вступления переносятся на 1 января 2017 года. Во избежание </w:t>
      </w:r>
      <w:proofErr w:type="gram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кривотолков</w:t>
      </w:r>
      <w:proofErr w:type="gram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 и двоякого прочтения процитируем </w:t>
      </w:r>
      <w:hyperlink r:id="rId9" w:tgtFrame="_blank" w:history="1">
        <w:r w:rsidRPr="00AB299A">
          <w:rPr>
            <w:rFonts w:ascii="PT Sans" w:eastAsia="Times New Roman" w:hAnsi="PT Sans" w:cs="Times New Roman"/>
            <w:color w:val="6DA3BD"/>
            <w:sz w:val="26"/>
            <w:szCs w:val="26"/>
            <w:u w:val="single"/>
            <w:lang w:eastAsia="ru-RU"/>
          </w:rPr>
          <w:t>п.1 ч.2 ст.154 ЖК РФ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: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“2. </w:t>
      </w:r>
      <w:r w:rsidRPr="00AB299A">
        <w:rPr>
          <w:rFonts w:ascii="PT Sans" w:eastAsia="Times New Roman" w:hAnsi="PT Sans" w:cs="Times New Roman"/>
          <w:b/>
          <w:bCs/>
          <w:color w:val="555555"/>
          <w:sz w:val="26"/>
          <w:szCs w:val="26"/>
          <w:lang w:eastAsia="ru-RU"/>
        </w:rPr>
        <w:t>Плата за жилое помещение и коммунальные услуги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 для собственника помещения в многоквартирном доме включает в себя: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proofErr w:type="gram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lastRenderedPageBreak/>
        <w:t>имущества в многоквартирном доме, а также за отведение сточных вод в целях содержания общего имущества в многоквартирном доме;”</w:t>
      </w:r>
      <w:proofErr w:type="gramEnd"/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Это значит, что с 1 января 2017 года в состав платы за содержание жилого помещения будут включены </w:t>
      </w:r>
      <w:r w:rsidRPr="00AB299A">
        <w:rPr>
          <w:rFonts w:ascii="PT Sans" w:eastAsia="Times New Roman" w:hAnsi="PT Sans" w:cs="Times New Roman"/>
          <w:b/>
          <w:bCs/>
          <w:color w:val="555555"/>
          <w:sz w:val="26"/>
          <w:szCs w:val="26"/>
          <w:lang w:eastAsia="ru-RU"/>
        </w:rPr>
        <w:t>расходы на оплату коммунальных услуг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, использованные для содержания общего имущества в МКД. Пока же до конца текущего года никаких изменений в квитанциях собственников помещений в МКД не будет. Управляющая организация может спокойно делать начисления и выставлять квитанции собственникам за содержание жилого помещения по-прежнему.</w:t>
      </w:r>
    </w:p>
    <w:p w:rsidR="00AB299A" w:rsidRPr="00AB299A" w:rsidRDefault="00AB299A" w:rsidP="00AB299A">
      <w:pPr>
        <w:shd w:val="clear" w:color="auto" w:fill="FFFFFF"/>
        <w:spacing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hyperlink r:id="rId10" w:tgtFrame="_blank" w:history="1">
        <w:r w:rsidRPr="00AB299A">
          <w:rPr>
            <w:rFonts w:ascii="PT Sans" w:eastAsia="Times New Roman" w:hAnsi="PT Sans" w:cs="Times New Roman"/>
            <w:b/>
            <w:bCs/>
            <w:color w:val="6DA3BD"/>
            <w:sz w:val="26"/>
            <w:szCs w:val="26"/>
            <w:u w:val="single"/>
            <w:lang w:eastAsia="ru-RU"/>
          </w:rPr>
          <w:t>Читайте также про методические рекомендации, которые готовит Минстрой для расчёта платы за содержание жилого помещения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.</w:t>
      </w:r>
    </w:p>
    <w:p w:rsidR="00AB299A" w:rsidRPr="00AB299A" w:rsidRDefault="00AB299A" w:rsidP="00AB299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AB299A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Что такое ОДН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Под общедомовыми нуждами (ОДН) понимаются </w:t>
      </w:r>
      <w:r w:rsidRPr="00AB299A">
        <w:rPr>
          <w:rFonts w:ascii="PT Sans" w:eastAsia="Times New Roman" w:hAnsi="PT Sans" w:cs="Times New Roman"/>
          <w:b/>
          <w:bCs/>
          <w:color w:val="555555"/>
          <w:sz w:val="26"/>
          <w:szCs w:val="26"/>
          <w:lang w:eastAsia="ru-RU"/>
        </w:rPr>
        <w:t>расходы по содержанию общего имущества в многоквартирных домах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. Собственники видят их у себя в квитанциях за КУ отдельной строкой. Например, в счёте на оплату за потреблённую электроэнергию прописывается строка расходов электроэнергии на общедомовые нужды (например, за пресловутые лампочки в подъездах).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В каждом регионе России определяется и утверждается свой </w:t>
      </w:r>
      <w:r w:rsidRPr="00AB299A">
        <w:rPr>
          <w:rFonts w:ascii="PT Sans" w:eastAsia="Times New Roman" w:hAnsi="PT Sans" w:cs="Times New Roman"/>
          <w:b/>
          <w:bCs/>
          <w:color w:val="555555"/>
          <w:sz w:val="26"/>
          <w:szCs w:val="26"/>
          <w:lang w:eastAsia="ru-RU"/>
        </w:rPr>
        <w:t>норматив потребления ОДН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. Если дом </w:t>
      </w:r>
      <w:proofErr w:type="spell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энергоэффективный</w:t>
      </w:r>
      <w:proofErr w:type="spell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, то расходы на общедомовые нужды не выходят за рамки норматива. Если МКД не </w:t>
      </w:r>
      <w:proofErr w:type="spell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энергоэффективный</w:t>
      </w:r>
      <w:proofErr w:type="spell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, то потребление коммунальных ресурсов на общедомовые нужды превышает норматив. Как следствие, увеличивается сумма в квитанции собственников.</w:t>
      </w:r>
    </w:p>
    <w:p w:rsidR="00AB299A" w:rsidRPr="00AB299A" w:rsidRDefault="00AB299A" w:rsidP="00AB299A">
      <w:pPr>
        <w:shd w:val="clear" w:color="auto" w:fill="FFFFFF"/>
        <w:spacing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hyperlink r:id="rId11" w:tgtFrame="_blank" w:history="1">
        <w:r w:rsidRPr="00AB299A">
          <w:rPr>
            <w:rFonts w:ascii="PT Sans" w:eastAsia="Times New Roman" w:hAnsi="PT Sans" w:cs="Times New Roman"/>
            <w:b/>
            <w:bCs/>
            <w:color w:val="6DA3BD"/>
            <w:sz w:val="26"/>
            <w:szCs w:val="26"/>
            <w:u w:val="single"/>
            <w:lang w:eastAsia="ru-RU"/>
          </w:rPr>
          <w:t>Узнайте также про новую форму электронного паспорта МКД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.</w:t>
      </w:r>
    </w:p>
    <w:p w:rsidR="00AB299A" w:rsidRPr="00AB299A" w:rsidRDefault="00AB299A" w:rsidP="00AB299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AB299A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ОДН по-новому с 2017 года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Депутаты решили, что эта разница (при наличии) между излишним потреблением КУ на общедомовые нужды и нормативом ОДН должна войти в квитанцию, выставляемую собственникам за содержание жилого помещения.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Таким образом, ОДН по нормативу останется в составе платы за коммунальные услуги (холодной и горячей воды, электр</w:t>
      </w:r>
      <w:proofErr w:type="gram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о-</w:t>
      </w:r>
      <w:proofErr w:type="gram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 и </w:t>
      </w:r>
      <w:proofErr w:type="spell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теплоэнергии</w:t>
      </w:r>
      <w:proofErr w:type="spell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, газоснабжения и водоотведения). А уже, </w:t>
      </w:r>
      <w:proofErr w:type="gram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всё</w:t>
      </w:r>
      <w:proofErr w:type="gram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 что по </w:t>
      </w:r>
      <w:r w:rsidRPr="00AB299A">
        <w:rPr>
          <w:rFonts w:ascii="PT Sans" w:eastAsia="Times New Roman" w:hAnsi="PT Sans" w:cs="Times New Roman"/>
          <w:b/>
          <w:bCs/>
          <w:color w:val="555555"/>
          <w:sz w:val="26"/>
          <w:szCs w:val="26"/>
          <w:lang w:eastAsia="ru-RU"/>
        </w:rPr>
        <w:t>показаниям общедомовых приборов учёта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 накрутило сверху, пойдёт в оплату за содержание жилого помещения.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lastRenderedPageBreak/>
        <w:t>Для выполнения этого условия, все многоквартирные дома должны быть оборудованы квартирными и общедомовыми приборами учёта. В противном случае, могут возникнуть трудности при распределении затрат на общедомовые нужды по нормативу и сверх него между всеми собственниками помещений в МКД.</w:t>
      </w:r>
    </w:p>
    <w:p w:rsidR="00AB299A" w:rsidRPr="00AB299A" w:rsidRDefault="00AB299A" w:rsidP="00AB299A">
      <w:pPr>
        <w:shd w:val="clear" w:color="auto" w:fill="FFFFFF"/>
        <w:spacing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hyperlink r:id="rId12" w:tgtFrame="_blank" w:history="1">
        <w:r w:rsidRPr="00AB299A">
          <w:rPr>
            <w:rFonts w:ascii="PT Sans" w:eastAsia="Times New Roman" w:hAnsi="PT Sans" w:cs="Times New Roman"/>
            <w:b/>
            <w:bCs/>
            <w:color w:val="6DA3BD"/>
            <w:sz w:val="26"/>
            <w:szCs w:val="26"/>
            <w:u w:val="single"/>
            <w:lang w:eastAsia="ru-RU"/>
          </w:rPr>
          <w:t>Читайте также про установку приборов учёта электроэнергии с дистанционным сбором данных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.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Кроме того, данный законопроект переносит с 1 сентября на 1 ноября 2016 срок определения и утверждения для регионов </w:t>
      </w:r>
      <w:r w:rsidRPr="00AB299A">
        <w:rPr>
          <w:rFonts w:ascii="PT Sans" w:eastAsia="Times New Roman" w:hAnsi="PT Sans" w:cs="Times New Roman"/>
          <w:b/>
          <w:bCs/>
          <w:color w:val="555555"/>
          <w:sz w:val="26"/>
          <w:szCs w:val="26"/>
          <w:lang w:eastAsia="ru-RU"/>
        </w:rPr>
        <w:t>нормативов потребления коммунальных услуг на общедомовые нужды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. Принятые по итогам нормативы лягут в основу расчётов размера платы на содержание жилого помещения.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Как сказано в </w:t>
      </w:r>
      <w:hyperlink r:id="rId13" w:tgtFrame="_blank" w:history="1">
        <w:r w:rsidRPr="00AB299A">
          <w:rPr>
            <w:rFonts w:ascii="PT Sans" w:eastAsia="Times New Roman" w:hAnsi="PT Sans" w:cs="Times New Roman"/>
            <w:color w:val="6DA3BD"/>
            <w:sz w:val="26"/>
            <w:szCs w:val="26"/>
            <w:u w:val="single"/>
            <w:lang w:eastAsia="ru-RU"/>
          </w:rPr>
          <w:t>пояснительной записке к проекту Федерального Закона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, данная мера переноса сроков вызвана тем, что по состоянию на 1 сентября 2015 года не все субъекты РФ установили нормативы потребления КУ на общедомовые нужды.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Кроме того, по данным Минстроя РФ, по состоянию на сегодняшний день граждане накопили долги перед коммунальными службами в размере 1 триллиона рублей. При этом</w:t>
      </w:r>
      <w:proofErr w:type="gram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,</w:t>
      </w:r>
      <w:proofErr w:type="gram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 только четверть долга числится как задолженность обычных собственников. Вся остальная сумма - это долг управляющих организаций.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Также в </w:t>
      </w:r>
      <w:hyperlink r:id="rId14" w:tgtFrame="_blank" w:history="1">
        <w:r w:rsidRPr="00AB299A">
          <w:rPr>
            <w:rFonts w:ascii="PT Sans" w:eastAsia="Times New Roman" w:hAnsi="PT Sans" w:cs="Times New Roman"/>
            <w:color w:val="6DA3BD"/>
            <w:sz w:val="26"/>
            <w:szCs w:val="26"/>
            <w:u w:val="single"/>
            <w:lang w:eastAsia="ru-RU"/>
          </w:rPr>
          <w:t>пояснительной записке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 говорится о необходимости предусмотреть тот факт, что при первоначальном включении в квитанцию за содержание жилого помещения расходов на оплату ОДН (холодной и горячей воды, электр</w:t>
      </w:r>
      <w:proofErr w:type="gram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о-</w:t>
      </w:r>
      <w:proofErr w:type="gram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 и </w:t>
      </w:r>
      <w:proofErr w:type="spell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теплоэнергии</w:t>
      </w:r>
      <w:proofErr w:type="spell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, водоотведения), потребляемых при </w:t>
      </w:r>
      <w:r w:rsidRPr="00AB299A">
        <w:rPr>
          <w:rFonts w:ascii="PT Sans" w:eastAsia="Times New Roman" w:hAnsi="PT Sans" w:cs="Times New Roman"/>
          <w:b/>
          <w:bCs/>
          <w:color w:val="555555"/>
          <w:sz w:val="26"/>
          <w:szCs w:val="26"/>
          <w:lang w:eastAsia="ru-RU"/>
        </w:rPr>
        <w:t>содержании общего имущества в МКД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, их размер не может превышать норматив потребления КУ на общедомовые нужды, установленный субъектом РФ по состоянию на 1 сентября 2016 года.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Федеральный закон вступит в силу со дня его официального опубликования. Поэтому у управляющих организаций ещё остаётся достаточно времени, чтобы оснастить все МКД общедомовыми приборами учёта, если их до сих пор нет, а также определить по сверхнормативному потреблению ОДН, насколько </w:t>
      </w:r>
      <w:proofErr w:type="spell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энергоэффективен</w:t>
      </w:r>
      <w:proofErr w:type="spell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 или, наоборот, </w:t>
      </w:r>
      <w:proofErr w:type="spellStart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затратен</w:t>
      </w:r>
      <w:proofErr w:type="spellEnd"/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 xml:space="preserve"> тот или иной многоквартирный дом.</w:t>
      </w:r>
    </w:p>
    <w:p w:rsidR="00AB299A" w:rsidRPr="00AB299A" w:rsidRDefault="00AB299A" w:rsidP="00AB299A">
      <w:pPr>
        <w:shd w:val="clear" w:color="auto" w:fill="FFFFFF"/>
        <w:spacing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hyperlink r:id="rId15" w:tgtFrame="_blank" w:history="1">
        <w:r w:rsidRPr="00AB299A">
          <w:rPr>
            <w:rFonts w:ascii="PT Sans" w:eastAsia="Times New Roman" w:hAnsi="PT Sans" w:cs="Times New Roman"/>
            <w:b/>
            <w:bCs/>
            <w:color w:val="6DA3BD"/>
            <w:sz w:val="26"/>
            <w:szCs w:val="26"/>
            <w:u w:val="single"/>
            <w:lang w:eastAsia="ru-RU"/>
          </w:rPr>
          <w:t xml:space="preserve">Подробнее об </w:t>
        </w:r>
        <w:proofErr w:type="spellStart"/>
        <w:r w:rsidRPr="00AB299A">
          <w:rPr>
            <w:rFonts w:ascii="PT Sans" w:eastAsia="Times New Roman" w:hAnsi="PT Sans" w:cs="Times New Roman"/>
            <w:b/>
            <w:bCs/>
            <w:color w:val="6DA3BD"/>
            <w:sz w:val="26"/>
            <w:szCs w:val="26"/>
            <w:u w:val="single"/>
            <w:lang w:eastAsia="ru-RU"/>
          </w:rPr>
          <w:t>энергоаудите</w:t>
        </w:r>
        <w:proofErr w:type="spellEnd"/>
        <w:r w:rsidRPr="00AB299A">
          <w:rPr>
            <w:rFonts w:ascii="PT Sans" w:eastAsia="Times New Roman" w:hAnsi="PT Sans" w:cs="Times New Roman"/>
            <w:b/>
            <w:bCs/>
            <w:color w:val="6DA3BD"/>
            <w:sz w:val="26"/>
            <w:szCs w:val="26"/>
            <w:u w:val="single"/>
            <w:lang w:eastAsia="ru-RU"/>
          </w:rPr>
          <w:t xml:space="preserve">, классе и паспорте </w:t>
        </w:r>
        <w:proofErr w:type="spellStart"/>
        <w:r w:rsidRPr="00AB299A">
          <w:rPr>
            <w:rFonts w:ascii="PT Sans" w:eastAsia="Times New Roman" w:hAnsi="PT Sans" w:cs="Times New Roman"/>
            <w:b/>
            <w:bCs/>
            <w:color w:val="6DA3BD"/>
            <w:sz w:val="26"/>
            <w:szCs w:val="26"/>
            <w:u w:val="single"/>
            <w:lang w:eastAsia="ru-RU"/>
          </w:rPr>
          <w:t>энергоэффективности</w:t>
        </w:r>
        <w:proofErr w:type="spellEnd"/>
        <w:r w:rsidRPr="00AB299A">
          <w:rPr>
            <w:rFonts w:ascii="PT Sans" w:eastAsia="Times New Roman" w:hAnsi="PT Sans" w:cs="Times New Roman"/>
            <w:b/>
            <w:bCs/>
            <w:color w:val="6DA3BD"/>
            <w:sz w:val="26"/>
            <w:szCs w:val="26"/>
            <w:u w:val="single"/>
            <w:lang w:eastAsia="ru-RU"/>
          </w:rPr>
          <w:t xml:space="preserve"> МКД читайте в этой статье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.</w:t>
      </w:r>
    </w:p>
    <w:p w:rsidR="00AB299A" w:rsidRPr="00AB299A" w:rsidRDefault="00AB299A" w:rsidP="00AB299A">
      <w:pPr>
        <w:shd w:val="clear" w:color="auto" w:fill="FFFFFF"/>
        <w:spacing w:after="150" w:line="390" w:lineRule="atLeast"/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</w:pP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Если у вас остались вопросы, вы всегда можете обратиться к нам за консультацией. Также мы помогаем управляющим компаниям соответствовать </w:t>
      </w:r>
      <w:r w:rsidRPr="00AB299A">
        <w:rPr>
          <w:rFonts w:ascii="PT Sans" w:eastAsia="Times New Roman" w:hAnsi="PT Sans" w:cs="Times New Roman"/>
          <w:b/>
          <w:bCs/>
          <w:color w:val="555555"/>
          <w:sz w:val="26"/>
          <w:szCs w:val="26"/>
          <w:lang w:eastAsia="ru-RU"/>
        </w:rPr>
        <w:t xml:space="preserve">731 ПП РФ о </w:t>
      </w:r>
      <w:r w:rsidRPr="00AB299A">
        <w:rPr>
          <w:rFonts w:ascii="PT Sans" w:eastAsia="Times New Roman" w:hAnsi="PT Sans" w:cs="Times New Roman"/>
          <w:b/>
          <w:bCs/>
          <w:color w:val="555555"/>
          <w:sz w:val="26"/>
          <w:szCs w:val="26"/>
          <w:lang w:eastAsia="ru-RU"/>
        </w:rPr>
        <w:lastRenderedPageBreak/>
        <w:t>Стандарте раскрытия информации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 (заполнение портала </w:t>
      </w:r>
      <w:r w:rsidRPr="00AB299A">
        <w:rPr>
          <w:rFonts w:ascii="PT Sans" w:eastAsia="Times New Roman" w:hAnsi="PT Sans" w:cs="Times New Roman"/>
          <w:b/>
          <w:bCs/>
          <w:color w:val="555555"/>
          <w:sz w:val="26"/>
          <w:szCs w:val="26"/>
          <w:lang w:eastAsia="ru-RU"/>
        </w:rPr>
        <w:t>Реформа ЖКХ</w:t>
      </w:r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, сайта УК, информационных стендов) и ФЗ №209 (</w:t>
      </w:r>
      <w:hyperlink r:id="rId16" w:tgtFrame="_blank" w:history="1">
        <w:r w:rsidRPr="00AB299A">
          <w:rPr>
            <w:rFonts w:ascii="PT Sans" w:eastAsia="Times New Roman" w:hAnsi="PT Sans" w:cs="Times New Roman"/>
            <w:b/>
            <w:bCs/>
            <w:color w:val="6DA3BD"/>
            <w:sz w:val="26"/>
            <w:szCs w:val="26"/>
            <w:u w:val="single"/>
            <w:lang w:eastAsia="ru-RU"/>
          </w:rPr>
          <w:t>заполнение ГИС ЖКХ</w:t>
        </w:r>
      </w:hyperlink>
      <w:r w:rsidRPr="00AB299A">
        <w:rPr>
          <w:rFonts w:ascii="PT Sans" w:eastAsia="Times New Roman" w:hAnsi="PT Sans" w:cs="Times New Roman"/>
          <w:color w:val="555555"/>
          <w:sz w:val="26"/>
          <w:szCs w:val="26"/>
          <w:lang w:eastAsia="ru-RU"/>
        </w:rPr>
        <w:t>). Мы всегда рады вам помочь!</w:t>
      </w:r>
    </w:p>
    <w:p w:rsidR="00AD1A3D" w:rsidRDefault="00AD1A3D">
      <w:bookmarkStart w:id="0" w:name="_GoBack"/>
      <w:bookmarkEnd w:id="0"/>
    </w:p>
    <w:sectPr w:rsidR="00AD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D4"/>
    <w:rsid w:val="00AB299A"/>
    <w:rsid w:val="00AD1A3D"/>
    <w:rsid w:val="00D0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6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916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41808964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205685338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93933487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76661157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91/17/" TargetMode="External"/><Relationship Id="rId13" Type="http://schemas.openxmlformats.org/officeDocument/2006/relationships/hyperlink" Target="http://asozd2c.duma.gov.ru/addwork/scans.nsf/ID/B7694BFAD33BE3D743257EFC00586D2C/$FILE/928761-6.PDF?OpenEleme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oskvartal.ru/blog/11/25/nuzhno-li-isklyuchit-odn-iz-obschey-platy-za-kommunalnye-uslugi" TargetMode="External"/><Relationship Id="rId12" Type="http://schemas.openxmlformats.org/officeDocument/2006/relationships/hyperlink" Target="http://roskvartal.ru/blog/02/25/s-2018-goda-mkd-planiruyut-perevodit-na-elektrosch-tchiki-s-distancionnym-sborom-danny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roskvartal.ru/gis-gkh?utm_source=blog_article&amp;utm_medium=blog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1603300010?index=0&amp;rangeSize=1" TargetMode="External"/><Relationship Id="rId11" Type="http://schemas.openxmlformats.org/officeDocument/2006/relationships/hyperlink" Target="http://roskvartal.ru/blog/03/23/novaya-forma-elektronnogo-pasporta-mkd" TargetMode="External"/><Relationship Id="rId5" Type="http://schemas.openxmlformats.org/officeDocument/2006/relationships/hyperlink" Target="http://publication.pravo.gov.ru/Document/View/0001201603300010?index=0&amp;rangeSize=1" TargetMode="External"/><Relationship Id="rId15" Type="http://schemas.openxmlformats.org/officeDocument/2006/relationships/hyperlink" Target="http://roskvartal.ru/blog/12/17/energoaudit-klass-i-pasport-energoeffektivnosti-meropriyatiya-po-energosberezheniyu" TargetMode="External"/><Relationship Id="rId10" Type="http://schemas.openxmlformats.org/officeDocument/2006/relationships/hyperlink" Target="http://roskvartal.ru/blog/03/11/minstroy-gotovit-metodicheskie-rekomendacii-po-rasch-tu-platy-za-soderzhanie-zhilogo-pomesch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38291/17/" TargetMode="External"/><Relationship Id="rId14" Type="http://schemas.openxmlformats.org/officeDocument/2006/relationships/hyperlink" Target="http://asozd2c.duma.gov.ru/addwork/scans.nsf/ID/B7694BFAD33BE3D743257EFC00586D2C/$FILE/928761-6.PDF?OpenEle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2017-02-14T11:01:00Z</dcterms:created>
  <dcterms:modified xsi:type="dcterms:W3CDTF">2017-02-14T11:01:00Z</dcterms:modified>
</cp:coreProperties>
</file>